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E16" w:rsidRPr="00E90EC7" w:rsidRDefault="00274A8F" w:rsidP="00E230FD">
      <w:pPr>
        <w:pStyle w:val="Geneva"/>
        <w:tabs>
          <w:tab w:val="left" w:pos="720"/>
          <w:tab w:val="left" w:pos="1440"/>
          <w:tab w:val="left" w:pos="20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040"/>
        <w:rPr>
          <w:color w:val="auto"/>
        </w:rPr>
      </w:pPr>
      <w:r>
        <w:rPr>
          <w:rFonts w:cs="Arial"/>
          <w:b/>
          <w:noProof/>
          <w:color w:val="auto"/>
          <w:sz w:val="56"/>
          <w:lang w:val="en-AU" w:eastAsia="en-A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21590</wp:posOffset>
            </wp:positionV>
            <wp:extent cx="666750" cy="1128395"/>
            <wp:effectExtent l="0" t="0" r="0" b="0"/>
            <wp:wrapTight wrapText="bothSides">
              <wp:wrapPolygon edited="0">
                <wp:start x="0" y="0"/>
                <wp:lineTo x="0" y="21150"/>
                <wp:lineTo x="20983" y="21150"/>
                <wp:lineTo x="2098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12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5E16" w:rsidRPr="00E90EC7">
        <w:rPr>
          <w:rFonts w:cs="Arial"/>
          <w:b/>
          <w:color w:val="auto"/>
          <w:sz w:val="56"/>
        </w:rPr>
        <w:t>BENDIGO ACADEMY OF SPORT</w:t>
      </w:r>
    </w:p>
    <w:p w:rsidR="003D5E16" w:rsidRPr="00E90EC7" w:rsidRDefault="003D5E16" w:rsidP="00E230FD">
      <w:pPr>
        <w:ind w:left="2040"/>
        <w:rPr>
          <w:rFonts w:cs="Arial"/>
          <w:b/>
          <w:color w:val="auto"/>
          <w:sz w:val="8"/>
        </w:rPr>
      </w:pPr>
    </w:p>
    <w:p w:rsidR="00FA646E" w:rsidRDefault="00FA646E" w:rsidP="00E230FD">
      <w:pPr>
        <w:ind w:left="2040"/>
        <w:rPr>
          <w:rFonts w:cs="Arial"/>
          <w:b/>
          <w:color w:val="auto"/>
          <w:sz w:val="32"/>
          <w:szCs w:val="32"/>
        </w:rPr>
      </w:pPr>
    </w:p>
    <w:p w:rsidR="003D5E16" w:rsidRPr="00E90EC7" w:rsidRDefault="00BF63F2" w:rsidP="00E230FD">
      <w:pPr>
        <w:ind w:left="2040"/>
        <w:rPr>
          <w:rFonts w:cs="Arial"/>
          <w:b/>
          <w:color w:val="auto"/>
          <w:sz w:val="32"/>
          <w:szCs w:val="32"/>
        </w:rPr>
      </w:pPr>
      <w:r>
        <w:rPr>
          <w:rFonts w:cs="Arial"/>
          <w:b/>
          <w:color w:val="auto"/>
          <w:sz w:val="32"/>
          <w:szCs w:val="32"/>
        </w:rPr>
        <w:t>Investment</w:t>
      </w:r>
      <w:r w:rsidR="00791A79">
        <w:rPr>
          <w:rFonts w:cs="Arial"/>
          <w:b/>
          <w:color w:val="auto"/>
          <w:sz w:val="32"/>
          <w:szCs w:val="32"/>
        </w:rPr>
        <w:t xml:space="preserve"> Policy</w:t>
      </w:r>
    </w:p>
    <w:p w:rsidR="00CF7915" w:rsidRPr="00E90EC7" w:rsidRDefault="00CF7915" w:rsidP="00E230FD">
      <w:pPr>
        <w:ind w:left="2040"/>
        <w:rPr>
          <w:rFonts w:cs="Arial"/>
          <w:b/>
          <w:color w:val="auto"/>
          <w:sz w:val="32"/>
          <w:szCs w:val="32"/>
        </w:rPr>
      </w:pPr>
    </w:p>
    <w:p w:rsidR="003D5E16" w:rsidRPr="00E90EC7" w:rsidRDefault="003D5E16" w:rsidP="00E230FD">
      <w:pPr>
        <w:ind w:left="2552"/>
        <w:rPr>
          <w:rFonts w:cs="Arial"/>
          <w:b/>
          <w:color w:val="auto"/>
          <w:sz w:val="16"/>
          <w:szCs w:val="16"/>
        </w:rPr>
      </w:pPr>
    </w:p>
    <w:p w:rsidR="003D5E16" w:rsidRPr="00E90EC7" w:rsidRDefault="002D0468" w:rsidP="00E230FD">
      <w:pPr>
        <w:ind w:left="2552"/>
        <w:rPr>
          <w:rFonts w:cs="Arial"/>
          <w:b/>
          <w:color w:val="auto"/>
          <w:sz w:val="20"/>
        </w:rPr>
      </w:pPr>
      <w:r>
        <w:rPr>
          <w:rFonts w:cs="Arial"/>
          <w:noProof/>
          <w:color w:val="auto"/>
          <w:sz w:val="8"/>
          <w:lang w:val="en-AU" w:eastAsia="en-AU"/>
        </w:rPr>
        <w:pict>
          <v:line id="_x0000_s1027" style="position:absolute;left:0;text-align:left;z-index:251661312" from="-11.9pt,9.65pt" to="498.1pt,9.65pt" strokecolor="#4f81bd [3204]" strokeweight="10pt">
            <v:stroke linestyle="thinThin"/>
            <v:shadow color="#868686"/>
          </v:line>
        </w:pict>
      </w:r>
    </w:p>
    <w:p w:rsidR="003D5E16" w:rsidRPr="00E90EC7" w:rsidRDefault="003D5E16" w:rsidP="00E230FD">
      <w:pPr>
        <w:ind w:left="2552"/>
        <w:rPr>
          <w:rFonts w:cs="Arial"/>
          <w:b/>
          <w:color w:val="auto"/>
          <w:sz w:val="20"/>
        </w:rPr>
      </w:pPr>
    </w:p>
    <w:p w:rsidR="003D5E16" w:rsidRPr="00E90EC7" w:rsidRDefault="003D5E16" w:rsidP="00E230FD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67" w:hanging="567"/>
        <w:rPr>
          <w:rFonts w:cs="Arial"/>
          <w:color w:val="auto"/>
          <w:sz w:val="8"/>
        </w:rPr>
      </w:pPr>
    </w:p>
    <w:p w:rsidR="00BF63F2" w:rsidRDefault="00BF63F2" w:rsidP="00E230FD">
      <w:pPr>
        <w:spacing w:after="120"/>
        <w:ind w:left="709"/>
        <w:rPr>
          <w:b/>
          <w:sz w:val="22"/>
        </w:rPr>
      </w:pPr>
      <w:r>
        <w:rPr>
          <w:b/>
          <w:sz w:val="22"/>
          <w:u w:val="single"/>
        </w:rPr>
        <w:t>Rationale</w:t>
      </w:r>
      <w:r>
        <w:rPr>
          <w:b/>
          <w:sz w:val="22"/>
        </w:rPr>
        <w:t>:</w:t>
      </w:r>
    </w:p>
    <w:p w:rsidR="00BF63F2" w:rsidRDefault="002D0468" w:rsidP="00E230FD">
      <w:pPr>
        <w:numPr>
          <w:ilvl w:val="0"/>
          <w:numId w:val="3"/>
        </w:numPr>
        <w:spacing w:after="120"/>
        <w:rPr>
          <w:b/>
          <w:sz w:val="22"/>
        </w:rPr>
      </w:pPr>
      <w:r>
        <w:rPr>
          <w:sz w:val="22"/>
        </w:rPr>
        <w:t xml:space="preserve">The Bendigo </w:t>
      </w:r>
      <w:bookmarkStart w:id="0" w:name="_GoBack"/>
      <w:bookmarkEnd w:id="0"/>
      <w:r w:rsidR="00BF63F2">
        <w:rPr>
          <w:sz w:val="22"/>
        </w:rPr>
        <w:t>Academy of Sport has a responsibility to manage funds and in doing so, has a responsibility to invest funds in a manner that generates the maximum interest revenue with institutions that represent low risk whilst maintaining a positive cash flow.</w:t>
      </w:r>
    </w:p>
    <w:p w:rsidR="00BF63F2" w:rsidRDefault="00BF63F2" w:rsidP="00E230FD">
      <w:pPr>
        <w:spacing w:after="120"/>
        <w:ind w:left="709"/>
        <w:rPr>
          <w:sz w:val="22"/>
        </w:rPr>
      </w:pPr>
      <w:r>
        <w:rPr>
          <w:sz w:val="22"/>
        </w:rPr>
        <w:t xml:space="preserve"> </w:t>
      </w:r>
    </w:p>
    <w:p w:rsidR="00BF63F2" w:rsidRDefault="00BF63F2" w:rsidP="00E230FD">
      <w:pPr>
        <w:spacing w:after="120"/>
        <w:ind w:left="709"/>
        <w:rPr>
          <w:b/>
          <w:sz w:val="22"/>
        </w:rPr>
      </w:pPr>
      <w:r>
        <w:rPr>
          <w:b/>
          <w:sz w:val="22"/>
          <w:u w:val="single"/>
        </w:rPr>
        <w:t>Aims</w:t>
      </w:r>
      <w:r>
        <w:rPr>
          <w:b/>
          <w:sz w:val="22"/>
        </w:rPr>
        <w:t>:</w:t>
      </w:r>
    </w:p>
    <w:p w:rsidR="00BF63F2" w:rsidRDefault="00BF63F2" w:rsidP="00E230FD">
      <w:pPr>
        <w:numPr>
          <w:ilvl w:val="0"/>
          <w:numId w:val="3"/>
        </w:numPr>
        <w:spacing w:after="120"/>
        <w:rPr>
          <w:sz w:val="22"/>
        </w:rPr>
      </w:pPr>
      <w:r>
        <w:rPr>
          <w:sz w:val="22"/>
        </w:rPr>
        <w:t>To ensure maximum interest returns on low-risk investments.</w:t>
      </w:r>
    </w:p>
    <w:p w:rsidR="00BF63F2" w:rsidRDefault="00BF63F2" w:rsidP="00E230FD">
      <w:pPr>
        <w:numPr>
          <w:ilvl w:val="0"/>
          <w:numId w:val="27"/>
        </w:numPr>
        <w:spacing w:after="120"/>
        <w:rPr>
          <w:sz w:val="22"/>
        </w:rPr>
      </w:pPr>
      <w:r>
        <w:rPr>
          <w:sz w:val="22"/>
        </w:rPr>
        <w:t xml:space="preserve">To ensure the cash-flow needs of the </w:t>
      </w:r>
      <w:r w:rsidR="00E230FD">
        <w:rPr>
          <w:sz w:val="22"/>
        </w:rPr>
        <w:t>Bendigo Academy of Sport</w:t>
      </w:r>
      <w:r>
        <w:rPr>
          <w:sz w:val="22"/>
        </w:rPr>
        <w:t xml:space="preserve"> are not compromised by the investment of funds into inaccessible accounts.</w:t>
      </w:r>
    </w:p>
    <w:p w:rsidR="00BF63F2" w:rsidRDefault="00BF63F2" w:rsidP="00E230FD">
      <w:pPr>
        <w:spacing w:after="120"/>
        <w:ind w:left="709"/>
        <w:rPr>
          <w:sz w:val="22"/>
        </w:rPr>
      </w:pPr>
    </w:p>
    <w:p w:rsidR="00BF63F2" w:rsidRDefault="00BF63F2" w:rsidP="00E230FD">
      <w:pPr>
        <w:spacing w:after="120"/>
        <w:ind w:left="709"/>
        <w:rPr>
          <w:b/>
          <w:sz w:val="22"/>
        </w:rPr>
      </w:pPr>
      <w:r>
        <w:rPr>
          <w:b/>
          <w:sz w:val="22"/>
          <w:u w:val="single"/>
        </w:rPr>
        <w:t>Implementation</w:t>
      </w:r>
      <w:r>
        <w:rPr>
          <w:b/>
          <w:sz w:val="22"/>
        </w:rPr>
        <w:t>:</w:t>
      </w:r>
    </w:p>
    <w:p w:rsidR="00BF63F2" w:rsidRDefault="00BF63F2" w:rsidP="00E230FD">
      <w:pPr>
        <w:numPr>
          <w:ilvl w:val="0"/>
          <w:numId w:val="28"/>
        </w:numPr>
        <w:spacing w:after="120"/>
        <w:rPr>
          <w:sz w:val="22"/>
        </w:rPr>
      </w:pPr>
      <w:r>
        <w:rPr>
          <w:sz w:val="22"/>
        </w:rPr>
        <w:t xml:space="preserve">All grants and other payments are paid into the </w:t>
      </w:r>
      <w:r w:rsidR="00274A8F">
        <w:rPr>
          <w:sz w:val="22"/>
        </w:rPr>
        <w:t xml:space="preserve">Operating </w:t>
      </w:r>
      <w:r w:rsidR="00E230FD">
        <w:rPr>
          <w:sz w:val="22"/>
        </w:rPr>
        <w:t>Account</w:t>
      </w:r>
    </w:p>
    <w:p w:rsidR="00BF63F2" w:rsidRDefault="00E230FD" w:rsidP="00E230FD">
      <w:pPr>
        <w:numPr>
          <w:ilvl w:val="0"/>
          <w:numId w:val="28"/>
        </w:numPr>
        <w:spacing w:after="120"/>
        <w:rPr>
          <w:sz w:val="22"/>
        </w:rPr>
      </w:pPr>
      <w:r>
        <w:rPr>
          <w:sz w:val="22"/>
        </w:rPr>
        <w:t>Bendigo Academy of Sport will</w:t>
      </w:r>
      <w:r w:rsidR="00BF63F2">
        <w:rPr>
          <w:sz w:val="22"/>
        </w:rPr>
        <w:t xml:space="preserve"> consider whether or not it should leave excess funds in the </w:t>
      </w:r>
      <w:r w:rsidR="00274A8F">
        <w:rPr>
          <w:sz w:val="22"/>
        </w:rPr>
        <w:t>Operating</w:t>
      </w:r>
      <w:r w:rsidR="00BF63F2">
        <w:rPr>
          <w:sz w:val="22"/>
        </w:rPr>
        <w:t xml:space="preserve"> Account, or seek other inves</w:t>
      </w:r>
      <w:r>
        <w:rPr>
          <w:sz w:val="22"/>
        </w:rPr>
        <w:t xml:space="preserve">tment opportunities. </w:t>
      </w:r>
      <w:r w:rsidR="00BF63F2">
        <w:rPr>
          <w:sz w:val="22"/>
        </w:rPr>
        <w:t xml:space="preserve">The Finance </w:t>
      </w:r>
      <w:r w:rsidR="004500DE">
        <w:rPr>
          <w:sz w:val="22"/>
        </w:rPr>
        <w:t>C</w:t>
      </w:r>
      <w:r w:rsidR="00BF63F2">
        <w:rPr>
          <w:sz w:val="22"/>
        </w:rPr>
        <w:t xml:space="preserve">ommittee of </w:t>
      </w:r>
      <w:r>
        <w:rPr>
          <w:sz w:val="22"/>
        </w:rPr>
        <w:t>Bendigo Academy of Sport will</w:t>
      </w:r>
      <w:r w:rsidR="00BF63F2">
        <w:rPr>
          <w:sz w:val="22"/>
        </w:rPr>
        <w:t xml:space="preserve"> monitor and make recommendations regarding investment of excess funds to </w:t>
      </w:r>
      <w:r>
        <w:rPr>
          <w:sz w:val="22"/>
        </w:rPr>
        <w:t>the Board of the Bendigo Academy of Sport.</w:t>
      </w:r>
    </w:p>
    <w:p w:rsidR="00BF63F2" w:rsidRDefault="00E230FD" w:rsidP="00E230FD">
      <w:pPr>
        <w:numPr>
          <w:ilvl w:val="0"/>
          <w:numId w:val="3"/>
        </w:numPr>
        <w:spacing w:after="120"/>
        <w:rPr>
          <w:sz w:val="22"/>
        </w:rPr>
      </w:pPr>
      <w:r>
        <w:rPr>
          <w:sz w:val="22"/>
        </w:rPr>
        <w:t>Bendigo Academy of Sport will</w:t>
      </w:r>
      <w:r w:rsidR="00BF63F2">
        <w:rPr>
          <w:sz w:val="22"/>
        </w:rPr>
        <w:t xml:space="preserve"> maintain a manual Investment Register for all investments.  The register will detail date of </w:t>
      </w:r>
      <w:r>
        <w:rPr>
          <w:sz w:val="22"/>
        </w:rPr>
        <w:t>lodgment</w:t>
      </w:r>
      <w:r w:rsidR="00BF63F2">
        <w:rPr>
          <w:sz w:val="22"/>
        </w:rPr>
        <w:t>, investment institution, account number, amount invested, and terms of investment including interest rate, maturity date and interest earned.</w:t>
      </w:r>
    </w:p>
    <w:p w:rsidR="00BF63F2" w:rsidRDefault="00BF63F2" w:rsidP="00E230FD">
      <w:pPr>
        <w:numPr>
          <w:ilvl w:val="0"/>
          <w:numId w:val="3"/>
        </w:numPr>
        <w:spacing w:after="120"/>
        <w:ind w:left="1080"/>
        <w:rPr>
          <w:sz w:val="22"/>
        </w:rPr>
      </w:pPr>
      <w:r>
        <w:rPr>
          <w:sz w:val="22"/>
        </w:rPr>
        <w:t xml:space="preserve">When considering investment opportunities, </w:t>
      </w:r>
      <w:r w:rsidR="00E230FD">
        <w:rPr>
          <w:sz w:val="22"/>
        </w:rPr>
        <w:t>Bendigo Academy of Sport will</w:t>
      </w:r>
      <w:r>
        <w:rPr>
          <w:sz w:val="22"/>
        </w:rPr>
        <w:t xml:space="preserve"> ensure that funds are only invested with institutions that are prudentially sound and secure, professionally managed, and have strong financial status in reserves, liquidity and profitability.</w:t>
      </w:r>
    </w:p>
    <w:p w:rsidR="00BF63F2" w:rsidRDefault="00BF63F2" w:rsidP="00E230FD">
      <w:pPr>
        <w:numPr>
          <w:ilvl w:val="0"/>
          <w:numId w:val="3"/>
        </w:numPr>
        <w:spacing w:after="120"/>
        <w:ind w:left="1080"/>
        <w:rPr>
          <w:sz w:val="22"/>
        </w:rPr>
      </w:pPr>
      <w:r>
        <w:rPr>
          <w:sz w:val="22"/>
        </w:rPr>
        <w:t xml:space="preserve">All investment and changes to investments, including the ‘roll over’ of existing investments, must be approved and </w:t>
      </w:r>
      <w:proofErr w:type="spellStart"/>
      <w:r>
        <w:rPr>
          <w:sz w:val="22"/>
        </w:rPr>
        <w:t>minuted</w:t>
      </w:r>
      <w:proofErr w:type="spellEnd"/>
      <w:r>
        <w:rPr>
          <w:sz w:val="22"/>
        </w:rPr>
        <w:t xml:space="preserve"> by </w:t>
      </w:r>
      <w:r w:rsidR="00E230FD">
        <w:rPr>
          <w:sz w:val="22"/>
        </w:rPr>
        <w:t xml:space="preserve">Bendigo Academy of Sport Finance Committee </w:t>
      </w:r>
      <w:r>
        <w:rPr>
          <w:sz w:val="22"/>
        </w:rPr>
        <w:t xml:space="preserve">, and </w:t>
      </w:r>
      <w:r w:rsidR="00E230FD">
        <w:rPr>
          <w:sz w:val="22"/>
        </w:rPr>
        <w:t>authorized</w:t>
      </w:r>
      <w:r>
        <w:rPr>
          <w:sz w:val="22"/>
        </w:rPr>
        <w:t xml:space="preserve"> by the </w:t>
      </w:r>
      <w:r w:rsidR="00E230FD">
        <w:rPr>
          <w:sz w:val="22"/>
        </w:rPr>
        <w:t>Executive Officer</w:t>
      </w:r>
      <w:r>
        <w:rPr>
          <w:sz w:val="22"/>
        </w:rPr>
        <w:t xml:space="preserve"> and a </w:t>
      </w:r>
      <w:r w:rsidR="00E230FD">
        <w:rPr>
          <w:sz w:val="22"/>
        </w:rPr>
        <w:t xml:space="preserve">Bendigo Academy of Sport </w:t>
      </w:r>
      <w:r>
        <w:rPr>
          <w:sz w:val="22"/>
        </w:rPr>
        <w:t xml:space="preserve"> </w:t>
      </w:r>
      <w:r w:rsidR="00E230FD">
        <w:rPr>
          <w:sz w:val="22"/>
        </w:rPr>
        <w:t>registered signatory</w:t>
      </w:r>
      <w:r>
        <w:rPr>
          <w:sz w:val="22"/>
        </w:rPr>
        <w:t>.</w:t>
      </w:r>
    </w:p>
    <w:p w:rsidR="00BF63F2" w:rsidRDefault="00BF63F2" w:rsidP="00E230FD">
      <w:pPr>
        <w:numPr>
          <w:ilvl w:val="0"/>
          <w:numId w:val="3"/>
        </w:numPr>
        <w:spacing w:after="120"/>
        <w:ind w:left="1080"/>
        <w:rPr>
          <w:sz w:val="22"/>
        </w:rPr>
      </w:pPr>
      <w:r>
        <w:rPr>
          <w:sz w:val="22"/>
        </w:rPr>
        <w:t xml:space="preserve">All investments will be made in the name of </w:t>
      </w:r>
      <w:r w:rsidR="00E230FD">
        <w:rPr>
          <w:sz w:val="22"/>
        </w:rPr>
        <w:t>Bendigo Bank Academy of Sport</w:t>
      </w:r>
      <w:r>
        <w:rPr>
          <w:sz w:val="22"/>
        </w:rPr>
        <w:t>.</w:t>
      </w:r>
    </w:p>
    <w:p w:rsidR="00BF63F2" w:rsidRDefault="00BF63F2" w:rsidP="00E230FD">
      <w:pPr>
        <w:numPr>
          <w:ilvl w:val="0"/>
          <w:numId w:val="3"/>
        </w:numPr>
        <w:spacing w:after="120"/>
        <w:ind w:left="1080"/>
        <w:rPr>
          <w:sz w:val="22"/>
        </w:rPr>
      </w:pPr>
      <w:r>
        <w:rPr>
          <w:sz w:val="22"/>
        </w:rPr>
        <w:t xml:space="preserve">The cash-flow requirements of the </w:t>
      </w:r>
      <w:r w:rsidR="00E230FD">
        <w:rPr>
          <w:sz w:val="22"/>
        </w:rPr>
        <w:t xml:space="preserve">Bendigo Academy of Sport </w:t>
      </w:r>
      <w:r>
        <w:rPr>
          <w:sz w:val="22"/>
        </w:rPr>
        <w:t>must be monitored to ensure that there are sufficient funds available to meet commitments.</w:t>
      </w:r>
    </w:p>
    <w:p w:rsidR="00BF63F2" w:rsidRDefault="00BF63F2" w:rsidP="00E230FD">
      <w:pPr>
        <w:spacing w:after="120"/>
        <w:rPr>
          <w:b/>
          <w:sz w:val="22"/>
          <w:u w:val="single"/>
        </w:rPr>
      </w:pPr>
    </w:p>
    <w:p w:rsidR="00BF63F2" w:rsidRDefault="00BF63F2" w:rsidP="00E230FD">
      <w:pPr>
        <w:spacing w:after="120"/>
        <w:ind w:left="709"/>
        <w:rPr>
          <w:b/>
          <w:sz w:val="22"/>
        </w:rPr>
      </w:pPr>
      <w:r>
        <w:rPr>
          <w:b/>
          <w:sz w:val="22"/>
          <w:u w:val="single"/>
        </w:rPr>
        <w:t>Evaluation</w:t>
      </w:r>
      <w:r>
        <w:rPr>
          <w:b/>
          <w:sz w:val="22"/>
        </w:rPr>
        <w:t>:</w:t>
      </w:r>
    </w:p>
    <w:p w:rsidR="0039119F" w:rsidRPr="00BF63F2" w:rsidRDefault="00BF63F2" w:rsidP="00E230FD">
      <w:pPr>
        <w:numPr>
          <w:ilvl w:val="0"/>
          <w:numId w:val="3"/>
        </w:numPr>
        <w:spacing w:after="120"/>
        <w:ind w:left="1080"/>
        <w:rPr>
          <w:sz w:val="22"/>
        </w:rPr>
      </w:pPr>
      <w:r>
        <w:rPr>
          <w:sz w:val="22"/>
        </w:rPr>
        <w:t xml:space="preserve">This policy, plus investment levels, investment terms and types of investments are required to be formally </w:t>
      </w:r>
      <w:proofErr w:type="spellStart"/>
      <w:r>
        <w:rPr>
          <w:sz w:val="22"/>
        </w:rPr>
        <w:t>minuted</w:t>
      </w:r>
      <w:proofErr w:type="spellEnd"/>
      <w:r>
        <w:rPr>
          <w:sz w:val="22"/>
        </w:rPr>
        <w:t xml:space="preserve"> and reviewed by </w:t>
      </w:r>
      <w:r w:rsidR="00E230FD">
        <w:rPr>
          <w:sz w:val="22"/>
        </w:rPr>
        <w:t xml:space="preserve">Bendigo Academy of </w:t>
      </w:r>
      <w:r w:rsidR="00FD030E">
        <w:rPr>
          <w:sz w:val="22"/>
        </w:rPr>
        <w:t>Sport regularly</w:t>
      </w:r>
      <w:r>
        <w:rPr>
          <w:sz w:val="22"/>
        </w:rPr>
        <w:t>.</w:t>
      </w:r>
    </w:p>
    <w:p w:rsidR="0039119F" w:rsidRDefault="002D0468" w:rsidP="00E230FD">
      <w:pPr>
        <w:spacing w:after="200" w:line="276" w:lineRule="auto"/>
        <w:rPr>
          <w:rFonts w:cs="Arial"/>
          <w:color w:val="333333"/>
          <w:sz w:val="22"/>
          <w:szCs w:val="22"/>
        </w:rPr>
      </w:pPr>
      <w:r>
        <w:rPr>
          <w:rFonts w:cs="Arial"/>
          <w:noProof/>
          <w:color w:val="333333"/>
          <w:sz w:val="22"/>
          <w:szCs w:val="22"/>
          <w:lang w:val="en-AU" w:eastAsia="en-A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39.6pt;margin-top:17.7pt;width:410.4pt;height:78.05pt;z-index:251667456" o:allowincell="f" filled="f" stroked="f">
            <v:textbox>
              <w:txbxContent>
                <w:p w:rsidR="002D0468" w:rsidRDefault="002D0468" w:rsidP="002D0468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b/>
                      <w:i/>
                      <w:sz w:val="22"/>
                      <w:szCs w:val="22"/>
                    </w:rPr>
                  </w:pPr>
                  <w:r>
                    <w:rPr>
                      <w:b/>
                      <w:i/>
                      <w:sz w:val="22"/>
                      <w:szCs w:val="22"/>
                    </w:rPr>
                    <w:t>This policy was ratified by the Board of the Bendigo Academy of Sport in May 2017</w:t>
                  </w:r>
                </w:p>
                <w:p w:rsidR="002D0468" w:rsidRDefault="002D0468" w:rsidP="002D0468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b/>
                      <w:i/>
                      <w:sz w:val="22"/>
                      <w:szCs w:val="22"/>
                    </w:rPr>
                  </w:pPr>
                </w:p>
                <w:p w:rsidR="002D0468" w:rsidRDefault="002D0468" w:rsidP="002D0468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b/>
                      <w:i/>
                      <w:sz w:val="22"/>
                      <w:szCs w:val="22"/>
                    </w:rPr>
                  </w:pPr>
                  <w:r>
                    <w:rPr>
                      <w:b/>
                      <w:i/>
                      <w:sz w:val="22"/>
                      <w:szCs w:val="22"/>
                    </w:rPr>
                    <w:t>Review Date:</w:t>
                  </w:r>
                  <w:r>
                    <w:rPr>
                      <w:b/>
                      <w:i/>
                      <w:sz w:val="22"/>
                      <w:szCs w:val="22"/>
                    </w:rPr>
                    <w:tab/>
                  </w:r>
                  <w:r>
                    <w:rPr>
                      <w:b/>
                      <w:i/>
                      <w:sz w:val="22"/>
                      <w:szCs w:val="22"/>
                    </w:rPr>
                    <w:tab/>
                    <w:t>2021</w:t>
                  </w:r>
                </w:p>
                <w:p w:rsidR="002D0468" w:rsidRDefault="002D0468" w:rsidP="002D0468"/>
              </w:txbxContent>
            </v:textbox>
          </v:shape>
        </w:pict>
      </w:r>
    </w:p>
    <w:p w:rsidR="00791A79" w:rsidRPr="00BF63F2" w:rsidRDefault="00791A79" w:rsidP="00E230FD">
      <w:pPr>
        <w:spacing w:after="200" w:line="276" w:lineRule="auto"/>
        <w:rPr>
          <w:rFonts w:cs="Arial"/>
          <w:color w:val="333333"/>
          <w:sz w:val="22"/>
          <w:szCs w:val="22"/>
        </w:rPr>
      </w:pPr>
    </w:p>
    <w:sectPr w:rsidR="00791A79" w:rsidRPr="00BF63F2" w:rsidSect="003D5E16">
      <w:pgSz w:w="11907" w:h="16840" w:code="9"/>
      <w:pgMar w:top="425" w:right="720" w:bottom="425" w:left="1134" w:header="720" w:footer="68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76310B3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97F6B66"/>
    <w:multiLevelType w:val="hybridMultilevel"/>
    <w:tmpl w:val="0768788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59275A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1069" w:hanging="360"/>
      </w:pPr>
      <w:rPr>
        <w:rFonts w:ascii="Symbol" w:hAnsi="Symbol" w:hint="default"/>
      </w:rPr>
    </w:lvl>
  </w:abstractNum>
  <w:abstractNum w:abstractNumId="4">
    <w:nsid w:val="123C2E09"/>
    <w:multiLevelType w:val="hybridMultilevel"/>
    <w:tmpl w:val="486CB362"/>
    <w:lvl w:ilvl="0" w:tplc="4F421D86">
      <w:start w:val="1"/>
      <w:numFmt w:val="bullet"/>
      <w:pStyle w:val="bulletcheck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  <w:sz w:val="16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E40BB9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1069" w:hanging="360"/>
      </w:pPr>
      <w:rPr>
        <w:rFonts w:ascii="Symbol" w:hAnsi="Symbol" w:hint="default"/>
      </w:rPr>
    </w:lvl>
  </w:abstractNum>
  <w:abstractNum w:abstractNumId="6">
    <w:nsid w:val="2BDD7756"/>
    <w:multiLevelType w:val="hybridMultilevel"/>
    <w:tmpl w:val="D5BAFD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5E55F2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1069" w:hanging="360"/>
      </w:pPr>
      <w:rPr>
        <w:rFonts w:ascii="Symbol" w:hAnsi="Symbol" w:hint="default"/>
      </w:rPr>
    </w:lvl>
  </w:abstractNum>
  <w:abstractNum w:abstractNumId="8">
    <w:nsid w:val="36825323"/>
    <w:multiLevelType w:val="hybridMultilevel"/>
    <w:tmpl w:val="7D7C7DE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4D60016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47BB0D6E"/>
    <w:multiLevelType w:val="hybridMultilevel"/>
    <w:tmpl w:val="AB4C23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8F4FEE"/>
    <w:multiLevelType w:val="hybridMultilevel"/>
    <w:tmpl w:val="CAA801F6"/>
    <w:lvl w:ilvl="0" w:tplc="8B245D2C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Aria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EA2ABB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1069" w:hanging="360"/>
      </w:pPr>
      <w:rPr>
        <w:rFonts w:ascii="Symbol" w:hAnsi="Symbol" w:hint="default"/>
      </w:rPr>
    </w:lvl>
  </w:abstractNum>
  <w:abstractNum w:abstractNumId="13">
    <w:nsid w:val="5AEA1550"/>
    <w:multiLevelType w:val="singleLevel"/>
    <w:tmpl w:val="32FAEE2E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</w:abstractNum>
  <w:abstractNum w:abstractNumId="14">
    <w:nsid w:val="5B6C0EE3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5D0B31B8"/>
    <w:multiLevelType w:val="hybridMultilevel"/>
    <w:tmpl w:val="50B464A4"/>
    <w:lvl w:ilvl="0" w:tplc="0C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5EB91A8E"/>
    <w:multiLevelType w:val="singleLevel"/>
    <w:tmpl w:val="32FAEE2E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</w:abstractNum>
  <w:abstractNum w:abstractNumId="17">
    <w:nsid w:val="61605F65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62B4698C"/>
    <w:multiLevelType w:val="hybridMultilevel"/>
    <w:tmpl w:val="D1181D96"/>
    <w:lvl w:ilvl="0" w:tplc="77F8F178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4741208"/>
    <w:multiLevelType w:val="singleLevel"/>
    <w:tmpl w:val="32FAEE2E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</w:abstractNum>
  <w:abstractNum w:abstractNumId="20">
    <w:nsid w:val="6A7C526A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6DBD3386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1069" w:hanging="360"/>
      </w:pPr>
      <w:rPr>
        <w:rFonts w:ascii="Symbol" w:hAnsi="Symbol" w:hint="default"/>
      </w:rPr>
    </w:lvl>
  </w:abstractNum>
  <w:abstractNum w:abstractNumId="22">
    <w:nsid w:val="705D5D13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1069" w:hanging="360"/>
      </w:pPr>
      <w:rPr>
        <w:rFonts w:ascii="Symbol" w:hAnsi="Symbol" w:hint="default"/>
      </w:rPr>
    </w:lvl>
  </w:abstractNum>
  <w:abstractNum w:abstractNumId="23">
    <w:nsid w:val="74A231FA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4">
    <w:nsid w:val="766963C2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94F23D6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>
    <w:nsid w:val="7EF25C6E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1069" w:hanging="360"/>
      </w:pPr>
      <w:rPr>
        <w:rFonts w:ascii="Symbol" w:hAnsi="Symbol" w:hint="default"/>
      </w:rPr>
    </w:lvl>
  </w:abstractNum>
  <w:abstractNum w:abstractNumId="27">
    <w:nsid w:val="7FF36F7E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1069" w:hanging="360"/>
      </w:pPr>
      <w:rPr>
        <w:rFonts w:ascii="Symbol" w:hAnsi="Symbol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69" w:hanging="360"/>
        </w:pPr>
        <w:rPr>
          <w:rFonts w:ascii="Symbol" w:hAnsi="Symbol" w:hint="default"/>
        </w:rPr>
      </w:lvl>
    </w:lvlOverride>
  </w:num>
  <w:num w:numId="4">
    <w:abstractNumId w:val="22"/>
  </w:num>
  <w:num w:numId="5">
    <w:abstractNumId w:val="12"/>
  </w:num>
  <w:num w:numId="6">
    <w:abstractNumId w:val="3"/>
  </w:num>
  <w:num w:numId="7">
    <w:abstractNumId w:val="21"/>
  </w:num>
  <w:num w:numId="8">
    <w:abstractNumId w:val="27"/>
  </w:num>
  <w:num w:numId="9">
    <w:abstractNumId w:val="23"/>
  </w:num>
  <w:num w:numId="10">
    <w:abstractNumId w:val="7"/>
  </w:num>
  <w:num w:numId="11">
    <w:abstractNumId w:val="17"/>
  </w:num>
  <w:num w:numId="12">
    <w:abstractNumId w:val="20"/>
  </w:num>
  <w:num w:numId="13">
    <w:abstractNumId w:val="1"/>
  </w:num>
  <w:num w:numId="14">
    <w:abstractNumId w:val="14"/>
  </w:num>
  <w:num w:numId="15">
    <w:abstractNumId w:val="9"/>
  </w:num>
  <w:num w:numId="16">
    <w:abstractNumId w:val="25"/>
  </w:num>
  <w:num w:numId="17">
    <w:abstractNumId w:val="24"/>
  </w:num>
  <w:num w:numId="18">
    <w:abstractNumId w:val="19"/>
  </w:num>
  <w:num w:numId="19">
    <w:abstractNumId w:val="13"/>
  </w:num>
  <w:num w:numId="20">
    <w:abstractNumId w:val="16"/>
  </w:num>
  <w:num w:numId="21">
    <w:abstractNumId w:val="15"/>
  </w:num>
  <w:num w:numId="22">
    <w:abstractNumId w:val="8"/>
  </w:num>
  <w:num w:numId="23">
    <w:abstractNumId w:val="2"/>
  </w:num>
  <w:num w:numId="2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6"/>
  </w:num>
  <w:num w:numId="27">
    <w:abstractNumId w:val="26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D5E16"/>
    <w:rsid w:val="000023D7"/>
    <w:rsid w:val="000F3449"/>
    <w:rsid w:val="000F7DA7"/>
    <w:rsid w:val="001C088E"/>
    <w:rsid w:val="001F6BF8"/>
    <w:rsid w:val="00265854"/>
    <w:rsid w:val="00274A8F"/>
    <w:rsid w:val="002D0468"/>
    <w:rsid w:val="003110C8"/>
    <w:rsid w:val="0032449E"/>
    <w:rsid w:val="0039119F"/>
    <w:rsid w:val="003D5E16"/>
    <w:rsid w:val="004500DE"/>
    <w:rsid w:val="005E7830"/>
    <w:rsid w:val="006E487F"/>
    <w:rsid w:val="007220E7"/>
    <w:rsid w:val="00762EA5"/>
    <w:rsid w:val="007909E3"/>
    <w:rsid w:val="00791A79"/>
    <w:rsid w:val="007A3782"/>
    <w:rsid w:val="00980AA3"/>
    <w:rsid w:val="009C778D"/>
    <w:rsid w:val="00A24A07"/>
    <w:rsid w:val="00A57B18"/>
    <w:rsid w:val="00B0122F"/>
    <w:rsid w:val="00B5783C"/>
    <w:rsid w:val="00BD39F4"/>
    <w:rsid w:val="00BD4CC7"/>
    <w:rsid w:val="00BF63F2"/>
    <w:rsid w:val="00CF7915"/>
    <w:rsid w:val="00D04771"/>
    <w:rsid w:val="00DE409A"/>
    <w:rsid w:val="00E22632"/>
    <w:rsid w:val="00E230FD"/>
    <w:rsid w:val="00E2602B"/>
    <w:rsid w:val="00E90EC7"/>
    <w:rsid w:val="00F51071"/>
    <w:rsid w:val="00F572FB"/>
    <w:rsid w:val="00FA646E"/>
    <w:rsid w:val="00FD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E16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48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3D5E16"/>
    <w:pPr>
      <w:keepNext/>
      <w:pBdr>
        <w:top w:val="double" w:sz="6" w:space="2" w:color="auto"/>
        <w:left w:val="double" w:sz="6" w:space="2" w:color="auto"/>
        <w:bottom w:val="double" w:sz="6" w:space="2" w:color="auto"/>
        <w:right w:val="double" w:sz="6" w:space="2" w:color="auto"/>
      </w:pBdr>
      <w:spacing w:line="360" w:lineRule="atLeast"/>
      <w:ind w:right="12"/>
      <w:outlineLvl w:val="1"/>
    </w:pPr>
    <w:rPr>
      <w:b/>
      <w:sz w:val="1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F79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D5E16"/>
    <w:rPr>
      <w:rFonts w:ascii="Arial" w:eastAsia="Times New Roman" w:hAnsi="Arial" w:cs="Times New Roman"/>
      <w:b/>
      <w:color w:val="000000"/>
      <w:sz w:val="14"/>
      <w:szCs w:val="20"/>
      <w:lang w:val="en-US"/>
    </w:rPr>
  </w:style>
  <w:style w:type="paragraph" w:customStyle="1" w:styleId="Geneva">
    <w:name w:val="Geneva"/>
    <w:basedOn w:val="Normal"/>
    <w:rsid w:val="003D5E16"/>
  </w:style>
  <w:style w:type="paragraph" w:customStyle="1" w:styleId="bulletcheck">
    <w:name w:val="bullet check"/>
    <w:basedOn w:val="Normal"/>
    <w:rsid w:val="003D5E16"/>
    <w:pPr>
      <w:numPr>
        <w:numId w:val="1"/>
      </w:numPr>
      <w:spacing w:before="120"/>
    </w:pPr>
    <w:rPr>
      <w:rFonts w:ascii="Times New Roman" w:hAnsi="Times New Roman"/>
      <w:color w:val="auto"/>
      <w:szCs w:val="24"/>
      <w:lang w:val="en-AU"/>
    </w:rPr>
  </w:style>
  <w:style w:type="character" w:customStyle="1" w:styleId="URLChar">
    <w:name w:val="URL Char"/>
    <w:basedOn w:val="DefaultParagraphFont"/>
    <w:rsid w:val="003D5E16"/>
    <w:rPr>
      <w:rFonts w:ascii="Arial" w:hAnsi="Arial"/>
      <w:color w:val="6F2FA0"/>
      <w:sz w:val="22"/>
      <w:szCs w:val="22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F7915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val="en-US"/>
    </w:rPr>
  </w:style>
  <w:style w:type="paragraph" w:styleId="BodyTextIndent">
    <w:name w:val="Body Text Indent"/>
    <w:basedOn w:val="Normal"/>
    <w:link w:val="BodyTextIndentChar"/>
    <w:semiHidden/>
    <w:rsid w:val="00CF7915"/>
    <w:pPr>
      <w:ind w:left="709"/>
      <w:jc w:val="both"/>
    </w:pPr>
    <w:rPr>
      <w:rFonts w:ascii="Times New Roman" w:hAnsi="Times New Roman"/>
      <w:color w:val="auto"/>
      <w:lang w:val="en-AU"/>
    </w:rPr>
  </w:style>
  <w:style w:type="character" w:customStyle="1" w:styleId="BodyTextIndentChar">
    <w:name w:val="Body Text Indent Char"/>
    <w:basedOn w:val="DefaultParagraphFont"/>
    <w:link w:val="BodyTextIndent"/>
    <w:semiHidden/>
    <w:rsid w:val="00CF7915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E48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6E487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E487F"/>
    <w:rPr>
      <w:rFonts w:ascii="Arial" w:eastAsia="Times New Roman" w:hAnsi="Arial" w:cs="Times New Roman"/>
      <w:color w:val="000000"/>
      <w:sz w:val="24"/>
      <w:szCs w:val="20"/>
      <w:lang w:val="en-US"/>
    </w:rPr>
  </w:style>
  <w:style w:type="character" w:styleId="Hyperlink">
    <w:name w:val="Hyperlink"/>
    <w:basedOn w:val="DefaultParagraphFont"/>
    <w:autoRedefine/>
    <w:rsid w:val="007A3782"/>
    <w:rPr>
      <w:rFonts w:ascii="Arial" w:hAnsi="Arial"/>
      <w:color w:val="auto"/>
      <w:u w:val="none"/>
    </w:rPr>
  </w:style>
  <w:style w:type="paragraph" w:customStyle="1" w:styleId="xl25">
    <w:name w:val="xl25"/>
    <w:basedOn w:val="Normal"/>
    <w:rsid w:val="007A3782"/>
    <w:pPr>
      <w:spacing w:before="100" w:beforeAutospacing="1" w:after="100" w:afterAutospacing="1"/>
      <w:jc w:val="right"/>
    </w:pPr>
    <w:rPr>
      <w:rFonts w:cs="Arial"/>
      <w:sz w:val="18"/>
      <w:szCs w:val="18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980AA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C77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7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52AA5-4C23-4076-AF2E-1F328C43D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CentreCom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ggordon</dc:creator>
  <cp:keywords/>
  <dc:description/>
  <cp:lastModifiedBy>Owner</cp:lastModifiedBy>
  <cp:revision>15</cp:revision>
  <cp:lastPrinted>2011-08-08T23:55:00Z</cp:lastPrinted>
  <dcterms:created xsi:type="dcterms:W3CDTF">2011-07-28T03:46:00Z</dcterms:created>
  <dcterms:modified xsi:type="dcterms:W3CDTF">2017-04-18T03:02:00Z</dcterms:modified>
</cp:coreProperties>
</file>